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11.09.2024 N 1234</w:t>
              <w:br/>
              <w:t xml:space="preserve">"О внесении изменений в постановление Правительства Российской Федерации от 10 марта 2022 г. N 336"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сентября 2024 г. N 1234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ПОСТАНОВЛЕНИЕ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6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7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41, ст. 7076; N 46, ст. 8037; 2023, N 1, ст. 316; N 7, ст. 1132; N 12, ст. 2025; N 26, ст. 4812; N 42, ст. 7500; N 50, ст. 9073; N 51, ст. 9354, 9388; 2024, N 6, ст. 856; N 22, ст. 2961; N 30, ст. 4386; Официальный интернет-портал правовой информации (</w:t>
      </w:r>
      <w:hyperlink w:history="0" r:id="rId8">
        <w:r>
          <w:rPr>
            <w:sz w:val="20"/>
            <w:color w:val="0000ff"/>
          </w:rPr>
          <w:t xml:space="preserve">www.pravo.gov.ru</w:t>
        </w:r>
      </w:hyperlink>
      <w:r>
        <w:rPr>
          <w:sz w:val="20"/>
        </w:rPr>
        <w:t xml:space="preserve">), 2024, 29 августа, N 0001202408290016).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сентября 2024 г. N 1234</w:t>
      </w:r>
    </w:p>
    <w:p>
      <w:pPr>
        <w:pStyle w:val="0"/>
        <w:jc w:val="right"/>
      </w:pPr>
      <w:r>
        <w:rPr>
          <w:sz w:val="20"/>
        </w:rPr>
      </w:r>
    </w:p>
    <w:bookmarkStart w:id="26" w:name="P26"/>
    <w:bookmarkEnd w:id="26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ПОСТАНОВЛЕНИЕ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9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0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подпункт "а"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w:history="0" r:id="rId11" w:tooltip="Федеральный закон от 26.12.2008 N 294-ФЗ (ред. от 08.08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части 2 статьи 8</w:t>
        </w:r>
      </w:hyperlink>
      <w:r>
        <w:rPr>
          <w:sz w:val="20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w:history="0" r:id="rId12" w:tooltip="Федеральный закон от 26.12.2008 N 294-ФЗ (ред. от 08.08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частью 1 статьи 8</w:t>
        </w:r>
      </w:hyperlink>
      <w:r>
        <w:rPr>
          <w:sz w:val="20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3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подпункт "б"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4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4(1)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"4(1). До 2030 года в рамках федерального государственного пожарного надзора при проведении рейдового осмотра на объектах, деятельность на которых осуществляют несколько контролируемых лиц, срок взаимодействия с одним контролируемым лицом может превышать один рабочий день, но составлять не более 10 рабочих дней.".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5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 7(2)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"7(2).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</w:t>
      </w:r>
      <w:hyperlink w:history="0" r:id="rId16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транспортной безопасности выявлены нарушения обязательных требований,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законодательством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проведения выездного обследования в рамках федерального государственного контроля (надзора) в области транспортной безопасности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</w:t>
      </w:r>
      <w:hyperlink w:history="0" r:id="rId17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11(4)</w:t>
        </w:r>
      </w:hyperlink>
      <w:r>
        <w:rPr>
          <w:sz w:val="20"/>
        </w:rPr>
        <w:t xml:space="preserve"> слова "один день" заменить словами "10 дней".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18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11(6)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19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 11(8)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Предложение второе </w:t>
      </w:r>
      <w:hyperlink w:history="0" r:id="rId20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пункта 11(14)</w:t>
        </w:r>
      </w:hyperlink>
      <w:r>
        <w:rPr>
          <w:sz w:val="20"/>
        </w:rPr>
        <w:t xml:space="preserve"> после слов "должностное лицо контрольного (надзорного) органа вправе" дополнить словами "не позднее 3 месяцев со дня составления такого акта".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21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11(21) - 11(23)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"11(21). До 2030 года, если в ходе контрольной закупки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требований, инспектор вправе незамедлительно начать проведение документарной проверки или выездной проверки. В отношении проведения таких проверок не требуется принятие решения о проведении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документарной проверке или выездной проверке, проведенных в соответствии с абзацем первым настоящего пункта, вносится в единый реестр контрольных (надзорных) мероприятий в течение 5 рабочих дней с момента начала соответствующей проверки.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2030 года по решению должностного лица Федеральной налоговой службы или ее территориального органа, уполномоченного на осуществление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срок проведения контрольной закупки в рамках осуществления указанного вида контроля (надзора) может быть увеличен до 25 рабочих дней.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11(22).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способами, предусмотренными </w:t>
      </w:r>
      <w:hyperlink w:history="0" r:id="rId22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5 статьи 21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либо посредством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приложением N 5 к настоящему постановлению.".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</w:t>
      </w:r>
      <w:hyperlink w:history="0" r:id="rId23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приложением N 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"Для служебного пользования.".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11.09.2024 N 1234</w:t>
            <w:br/>
            <w:t>"О внесении изменений в постановление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84769" TargetMode = "External"/>
	<Relationship Id="rId8" Type="http://schemas.openxmlformats.org/officeDocument/2006/relationships/hyperlink" Target="www.pravo.gov.ru" TargetMode = "External"/>
	<Relationship Id="rId9" Type="http://schemas.openxmlformats.org/officeDocument/2006/relationships/hyperlink" Target="https://login.consultant.ru/link/?req=doc&amp;base=RZB&amp;n=484769&amp;dst=50" TargetMode = "External"/>
	<Relationship Id="rId10" Type="http://schemas.openxmlformats.org/officeDocument/2006/relationships/hyperlink" Target="https://login.consultant.ru/link/?req=doc&amp;base=RZB&amp;n=484769&amp;dst=100027" TargetMode = "External"/>
	<Relationship Id="rId11" Type="http://schemas.openxmlformats.org/officeDocument/2006/relationships/hyperlink" Target="https://login.consultant.ru/link/?req=doc&amp;base=RZB&amp;n=482704&amp;dst=100078" TargetMode = "External"/>
	<Relationship Id="rId12" Type="http://schemas.openxmlformats.org/officeDocument/2006/relationships/hyperlink" Target="https://login.consultant.ru/link/?req=doc&amp;base=RZB&amp;n=482704&amp;dst=100350" TargetMode = "External"/>
	<Relationship Id="rId13" Type="http://schemas.openxmlformats.org/officeDocument/2006/relationships/hyperlink" Target="https://login.consultant.ru/link/?req=doc&amp;base=RZB&amp;n=484769&amp;dst=100035" TargetMode = "External"/>
	<Relationship Id="rId14" Type="http://schemas.openxmlformats.org/officeDocument/2006/relationships/hyperlink" Target="https://login.consultant.ru/link/?req=doc&amp;base=RZB&amp;n=484769" TargetMode = "External"/>
	<Relationship Id="rId15" Type="http://schemas.openxmlformats.org/officeDocument/2006/relationships/hyperlink" Target="https://login.consultant.ru/link/?req=doc&amp;base=RZB&amp;n=484769&amp;dst=46" TargetMode = "External"/>
	<Relationship Id="rId16" Type="http://schemas.openxmlformats.org/officeDocument/2006/relationships/hyperlink" Target="https://login.consultant.ru/link/?req=doc&amp;base=RZB&amp;n=480240" TargetMode = "External"/>
	<Relationship Id="rId17" Type="http://schemas.openxmlformats.org/officeDocument/2006/relationships/hyperlink" Target="https://login.consultant.ru/link/?req=doc&amp;base=RZB&amp;n=484769&amp;dst=100120" TargetMode = "External"/>
	<Relationship Id="rId18" Type="http://schemas.openxmlformats.org/officeDocument/2006/relationships/hyperlink" Target="https://login.consultant.ru/link/?req=doc&amp;base=RZB&amp;n=484769&amp;dst=100111" TargetMode = "External"/>
	<Relationship Id="rId19" Type="http://schemas.openxmlformats.org/officeDocument/2006/relationships/hyperlink" Target="https://login.consultant.ru/link/?req=doc&amp;base=RZB&amp;n=484769&amp;dst=6" TargetMode = "External"/>
	<Relationship Id="rId20" Type="http://schemas.openxmlformats.org/officeDocument/2006/relationships/hyperlink" Target="https://login.consultant.ru/link/?req=doc&amp;base=RZB&amp;n=484769&amp;dst=100145" TargetMode = "External"/>
	<Relationship Id="rId21" Type="http://schemas.openxmlformats.org/officeDocument/2006/relationships/hyperlink" Target="https://login.consultant.ru/link/?req=doc&amp;base=RZB&amp;n=484769" TargetMode = "External"/>
	<Relationship Id="rId22" Type="http://schemas.openxmlformats.org/officeDocument/2006/relationships/hyperlink" Target="https://login.consultant.ru/link/?req=doc&amp;base=RZB&amp;n=480240&amp;dst=101128" TargetMode = "External"/>
	<Relationship Id="rId23" Type="http://schemas.openxmlformats.org/officeDocument/2006/relationships/hyperlink" Target="https://login.consultant.ru/link/?req=doc&amp;base=RZB&amp;n=48476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11.09.2024 N 1234
"О внесении изменений в постановление Правительства Российской Федерации от 10 марта 2022 г. N 336"</dc:title>
  <dcterms:created xsi:type="dcterms:W3CDTF">2024-12-27T03:00:25Z</dcterms:created>
</cp:coreProperties>
</file>